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rtl w:val="0"/>
        </w:rPr>
        <w:t xml:space="preserve">Volunteer Role: Building Greeter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Goal(s) of the role: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Greet NCUR guests and help direct them to the registration desk or sessions they are seeking to attend; report back any building safety concerns/emergencies.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Detailed description of duties: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•If assigned to one of the other campus buildings (1st floor), be sure you know the layout of the building, location of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info table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have access to session schedules for that building. You will welcome attendees to the building with a smile, direct them to the part of the building holding the session(s) they’re seeking.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•If building safety concerns are noticed or emergencies need to be reported, the volunteer will quickly report this to the Volunteer Hub or Situation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Dress Code/Suggestions: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t-shirt and khaki slacks or jeans; comfortable shoes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Anticipated frequently asked questions: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is room ___? Familiarize yourself with the layout of the building  you are assigned to so you can help them find specific rooms quickly.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•I’m looking for an oral presentation entitled _____. Can you help me find what room that is in? Familiarize yourself with the Search function in the Mobile App so you can help attendees find particular sessions quickly.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do I go for ____? Refer to NCUR schedule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Mobile App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help them determine where to go.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are the restrooms? [Make sure you know where the nearest restrooms are at in your assigned buildings.]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•Where and when is lunch? In the Mobile App, go to Food, then Menus. Each day’s menu also lists the time and location for that meal.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Hub, contact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470-578-6700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 Situation Room, contact 470-578-8187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ncurvolunteer@kennesaw.edu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Emergency, call 911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left="720" w:firstLine="0"/>
        <w:rPr>
          <w:rFonts w:ascii="Georgia" w:cs="Georgia" w:eastAsia="Georgia" w:hAnsi="Georg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u w:val="single"/>
          <w:rtl w:val="0"/>
        </w:rPr>
        <w:t xml:space="preserve">In Case of an Emergency: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ALL injuries and/or incidents must be documented on the appropriate reporting form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at the time the injury/incident occurs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and immediately sent to EHS.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Forms are available at: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https://ehs.kennesaw.edu/incident_reporting.php</w:t>
        </w:r>
      </w:hyperlink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;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You may wish to provide hard copies of these forms to your volunteers as these are not yet fillable online.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Make sure that you obtain a mobile phone number for the injured party and at least one additional contact number so that we may reach the party while they are attending the conference, if necessary.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appears to be an injury that may require treatment, please assure that the KSU Police are also called to the scene so they may notify appropriate emergency responders, complete a report, etc.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only requires First Aid, please escort the injured party to the closest First Aid/EMT station. Remain there to determine if first responders are notified or required so you may notify EHS of the status.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Please be sure to provide the KSU Police Report number on the incident report so that we may follow up.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Send all completed forms to EHS@kennesaw.edu as quickly as possible the same day with the subject of "New NCUR Incident Report".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hs.kennesaw.edu/incident_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